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536" w:leader="none"/>
          <w:tab w:val="left" w:pos="9072" w:leader="none"/>
        </w:tabs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2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color w:val="auto"/>
          <w:spacing w:val="20"/>
          <w:position w:val="0"/>
          <w:sz w:val="42"/>
          <w:shd w:fill="auto" w:val="clear"/>
        </w:rPr>
        <w:t xml:space="preserve">Berichtsantrag</w:t>
      </w:r>
    </w:p>
    <w:p>
      <w:pPr>
        <w:tabs>
          <w:tab w:val="left" w:pos="4536" w:leader="none"/>
          <w:tab w:val="left" w:pos="9072" w:leader="none"/>
        </w:tabs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2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20"/>
          <w:position w:val="0"/>
          <w:sz w:val="24"/>
          <w:shd w:fill="auto" w:val="clear"/>
        </w:rPr>
        <w:t xml:space="preserve">TAGESORDNUNGSPUNKT NR: </w:t>
      </w:r>
    </w:p>
    <w:tbl>
      <w:tblPr/>
      <w:tblGrid>
        <w:gridCol w:w="1488"/>
        <w:gridCol w:w="2693"/>
        <w:gridCol w:w="1701"/>
        <w:gridCol w:w="3472"/>
      </w:tblGrid>
      <w:tr>
        <w:trPr>
          <w:trHeight w:val="1861" w:hRule="auto"/>
          <w:jc w:val="left"/>
        </w:trPr>
        <w:tc>
          <w:tcPr>
            <w:tcW w:w="418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536" w:leader="none"/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536" w:leader="none"/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4536" w:leader="none"/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1485" w:dyaOrig="483">
                <v:rect xmlns:o="urn:schemas-microsoft-com:office:office" xmlns:v="urn:schemas-microsoft-com:vml" id="rectole0000000000" style="width:74.250000pt;height:24.1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object w:dxaOrig="2085" w:dyaOrig="1336">
                <v:rect xmlns:o="urn:schemas-microsoft-com:office:office" xmlns:v="urn:schemas-microsoft-com:vml" id="rectole0000000001" style="width:104.250000pt;height:66.8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PBrush" DrawAspect="Content" ObjectID="0000000001" ShapeID="rectole0000000001" r:id="docRId2"/>
              </w:objec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1490" w:leader="none"/>
              </w:tabs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149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149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Datum:</w:t>
            </w:r>
          </w:p>
          <w:p>
            <w:pPr>
              <w:tabs>
                <w:tab w:val="left" w:pos="149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1631" w:leader="none"/>
              </w:tabs>
              <w:spacing w:before="0" w:after="12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Antragstellerin:</w:t>
              <w:br/>
            </w:r>
          </w:p>
          <w:p>
            <w:pPr>
              <w:tabs>
                <w:tab w:val="left" w:pos="1490" w:leader="none"/>
              </w:tabs>
              <w:spacing w:before="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Verfasser:</w:t>
            </w:r>
          </w:p>
        </w:tc>
        <w:tc>
          <w:tcPr>
            <w:tcW w:w="347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32"/>
                <w:shd w:fill="auto" w:val="clear"/>
              </w:rPr>
              <w:t xml:space="preserve">*26.04.2014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br/>
              <w:t xml:space="preserve">Fraktion Andere Liste/Die Grünen und CDU Fraktion </w:t>
            </w:r>
          </w:p>
          <w:p>
            <w:pPr>
              <w:tabs>
                <w:tab w:val="left" w:pos="1490" w:leader="none"/>
              </w:tabs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Stefan Gerl, Michael Gensert </w:t>
            </w:r>
          </w:p>
        </w:tc>
      </w:tr>
      <w:tr>
        <w:trPr>
          <w:trHeight w:val="1" w:hRule="atLeast"/>
          <w:jc w:val="left"/>
        </w:trPr>
        <w:tc>
          <w:tcPr>
            <w:tcW w:w="935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149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Schutz von frei lebenden Tieren in der Brut- und Setzzeit</w:t>
            </w:r>
          </w:p>
        </w:tc>
      </w:tr>
      <w:tr>
        <w:trPr>
          <w:trHeight w:val="323" w:hRule="auto"/>
          <w:jc w:val="left"/>
          <w:cantSplit w:val="1"/>
        </w:trPr>
        <w:tc>
          <w:tcPr>
            <w:tcW w:w="935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536" w:leader="none"/>
                <w:tab w:val="left" w:pos="9072" w:leader="none"/>
                <w:tab w:val="left" w:pos="7350" w:leader="none"/>
              </w:tabs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Beratungsfolge:</w:t>
              <w:tab/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*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Pflichtfelder</w:t>
            </w:r>
          </w:p>
        </w:tc>
      </w:tr>
      <w:tr>
        <w:trPr>
          <w:trHeight w:val="322" w:hRule="auto"/>
          <w:jc w:val="left"/>
          <w:cantSplit w:val="1"/>
        </w:trPr>
        <w:tc>
          <w:tcPr>
            <w:tcW w:w="14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spacing w:before="12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Datum</w:t>
            </w:r>
          </w:p>
        </w:tc>
        <w:tc>
          <w:tcPr>
            <w:tcW w:w="7866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1490" w:leader="none"/>
              </w:tabs>
              <w:spacing w:before="12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Gremium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35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1490" w:leader="none"/>
              </w:tabs>
              <w:spacing w:before="6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07.05.2014</w:t>
              <w:tab/>
              <w:t xml:space="preserve">Ausschuss für Bau, Umwelt, Stadtentwicklung und Energie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Wir bitten, den folgenden Berichtsantrag gem. § 12 Abs. 7 der Geschäftsordnung an den Magistrat zu verweisen. Die Berichterstattung des Magistrats soll für die Sitzung des Ausschusses für Bau, Umwelt, Stadtentwicklung und Energie am 07.05.2014 vorgesehen werden.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Sachverhalt/Begründung: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Zwischen den Belangen des Betriebes des Modellflugplatzes zwischen Ober-Roden und Waldacker und den Belangen des Naturschutzes im Bereich Berngrundsee besteht offenbar während der Brut- und Setzzeit ein Zielkonflikt.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Durch diesen Berichtsantrag soll mehr Klarheit in diesen komplexen Sachverhalt gebracht werden, Lösungsansätze diskutiert werden und eine sachliche Grundlage für eventuelle Beschlüsse der Stadtverordneten geschaffen werden.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Beschlussvorschlag: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Wir bitten den Magistrat zu berichten und hierbei besonders auf die folgenden Fragen einzugehen: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Wie ist die gegenwärtige Genehmigungssituation für den Betrieb des Modellflugplatzes zwischen Ober-Roden und Waldacker?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Wie stellt sich die gegenwärtig naturschutzrechtliche und planungsrechtliche Situation im Bereich des Berngrundsees dar?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Sind dem Magistrat Beschwerden über Lärmbelästigungen durch den Flugbetrieb bekannt?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Wie bewertet der Magistrat die Konfliktsituation zwischen Naturschutzbelangen während der Brut- und Setzzeit im Bereich des Berngrundsees und dem Modellflugbetrieb?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Sieht der Magistrat Möglichkeiten zwischen den in 4. genannten Belangen zu vermitteln und eine für beide Seiten akzeptablen Lösung herbeizuführen?</w:t>
      </w: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